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D4" w:rsidRDefault="007469D4" w:rsidP="007469D4">
      <w:pPr>
        <w:spacing w:line="276" w:lineRule="auto"/>
        <w:jc w:val="center"/>
        <w:rPr>
          <w:b/>
        </w:rPr>
      </w:pPr>
      <w:r>
        <w:rPr>
          <w:b/>
        </w:rPr>
        <w:t>K blížícímu se stému výročí soustavy HM</w:t>
      </w:r>
    </w:p>
    <w:p w:rsidR="007469D4" w:rsidRDefault="007469D4" w:rsidP="007469D4">
      <w:pPr>
        <w:spacing w:line="276" w:lineRule="auto"/>
        <w:rPr>
          <w:color w:val="0D0D0D" w:themeColor="text1" w:themeTint="F2"/>
          <w:szCs w:val="22"/>
        </w:rPr>
      </w:pPr>
      <w:r>
        <w:rPr>
          <w:color w:val="0D0D0D" w:themeColor="text1" w:themeTint="F2"/>
        </w:rPr>
        <w:t xml:space="preserve">Úvodem k vlastnímu předmětu následujícího textu je patrně namístě poznámka, že si samozřejmě uvědomuji, že může být považováno za anachronismus psát o grafickém těsnopise v době, kdy náhrada výuky psaní rukou výukou psaní na klávesnici je předmětem nejen diskusí, nýbrž v některých zemích (Finsko, USA) i reálnou školní praxí. Důvodem toho, že toto podezření riskuji, je však nejen historická povaha následujícího textu, nýbrž také přesvědčení o pravdivosti zjištění odborníků, že klasický rukopis má pozitivní vliv na </w:t>
      </w:r>
      <w:r>
        <w:rPr>
          <w:rFonts w:ascii="Georgia" w:hAnsi="Georgia"/>
          <w:b/>
          <w:i/>
          <w:color w:val="0D0D0D" w:themeColor="text1" w:themeTint="F2"/>
          <w:sz w:val="26"/>
          <w:szCs w:val="26"/>
        </w:rPr>
        <w:t xml:space="preserve"> </w:t>
      </w:r>
      <w:r>
        <w:rPr>
          <w:color w:val="0D0D0D" w:themeColor="text1" w:themeTint="F2"/>
          <w:szCs w:val="22"/>
        </w:rPr>
        <w:t>jemnou motoriku, vizuální pozornost, myšlení, paměť a rozvoj těch částí mozku dítěte, jež při obsluze klávesnice nejsou aktivní; konečně výsledky speciálního výzkumu pozitivního vlivu používání těsnopisu v úsilí o vyloučení demence věkem pokročilejších osob, o němž jsme informovali v č. 34 tohoto Zpravodaje, mají rovněž svou vypovídací hodnotu. -  Takže nyní tedy k věci.</w:t>
      </w:r>
    </w:p>
    <w:p w:rsidR="007469D4" w:rsidRDefault="007469D4" w:rsidP="007469D4">
      <w:pPr>
        <w:spacing w:line="276" w:lineRule="auto"/>
        <w:rPr>
          <w:color w:val="0D0D0D" w:themeColor="text1" w:themeTint="F2"/>
          <w:szCs w:val="22"/>
        </w:rPr>
      </w:pPr>
      <w:r>
        <w:rPr>
          <w:color w:val="0D0D0D" w:themeColor="text1" w:themeTint="F2"/>
          <w:szCs w:val="22"/>
        </w:rPr>
        <w:t>Zhruba od čtyřicátých let 19. století lze v našich oblastech o kurzivní formě těsnopisu hovořit ve dvou základních oblastech jeho používání – jako o školním vyučovacím předmětu a jako o pracovním nástroji pořizování osobních poznámek (poznámkové písmo) a doslovných zápisů jednak jednání  zákonodárných orgánů a společenských institucí (komorní stenografie), později pak zpráv reportérů, přijímaných redakcemi médií (redakční stenografie).</w:t>
      </w:r>
    </w:p>
    <w:p w:rsidR="007469D4" w:rsidRDefault="007469D4" w:rsidP="007469D4">
      <w:pPr>
        <w:spacing w:line="276" w:lineRule="auto"/>
        <w:rPr>
          <w:color w:val="0D0D0D" w:themeColor="text1" w:themeTint="F2"/>
          <w:szCs w:val="22"/>
        </w:rPr>
      </w:pPr>
      <w:r>
        <w:rPr>
          <w:color w:val="0D0D0D" w:themeColor="text1" w:themeTint="F2"/>
          <w:szCs w:val="22"/>
        </w:rPr>
        <w:t xml:space="preserve">Co se týče historie zmíněných forem existence a používání těsnopisu u nás, představuje její základní rozhraní vznik našeho státu – Československé republiky; do roku 1921 se tu používala soustava Františka Xavera </w:t>
      </w:r>
      <w:proofErr w:type="spellStart"/>
      <w:r>
        <w:rPr>
          <w:color w:val="0D0D0D" w:themeColor="text1" w:themeTint="F2"/>
          <w:szCs w:val="22"/>
        </w:rPr>
        <w:t>Gabelsbergera</w:t>
      </w:r>
      <w:proofErr w:type="spellEnd"/>
      <w:r>
        <w:rPr>
          <w:color w:val="0D0D0D" w:themeColor="text1" w:themeTint="F2"/>
          <w:szCs w:val="22"/>
        </w:rPr>
        <w:t xml:space="preserve">, a to v německé řeči v originále a v češtině ve formě jejího převodu na naši mateřštinu. Tři roky po vzniku republiky pak byly zmíněné převody na češtinu nahrazeny původní českou soustavou HM autorů PhDr. Aloise Herouta a Ing. </w:t>
      </w:r>
      <w:proofErr w:type="spellStart"/>
      <w:r>
        <w:rPr>
          <w:color w:val="0D0D0D" w:themeColor="text1" w:themeTint="F2"/>
          <w:szCs w:val="22"/>
        </w:rPr>
        <w:t>Svojmíra</w:t>
      </w:r>
      <w:proofErr w:type="spellEnd"/>
      <w:r>
        <w:rPr>
          <w:color w:val="0D0D0D" w:themeColor="text1" w:themeTint="F2"/>
          <w:szCs w:val="22"/>
        </w:rPr>
        <w:t xml:space="preserve"> Mikulíka.</w:t>
      </w:r>
    </w:p>
    <w:p w:rsidR="007469D4" w:rsidRDefault="007469D4" w:rsidP="007469D4">
      <w:pPr>
        <w:spacing w:line="276" w:lineRule="auto"/>
        <w:rPr>
          <w:color w:val="0D0D0D" w:themeColor="text1" w:themeTint="F2"/>
          <w:szCs w:val="22"/>
          <w:shd w:val="clear" w:color="auto" w:fill="FFFFFF"/>
        </w:rPr>
      </w:pPr>
      <w:r>
        <w:rPr>
          <w:color w:val="0D0D0D" w:themeColor="text1" w:themeTint="F2"/>
          <w:szCs w:val="22"/>
        </w:rPr>
        <w:t xml:space="preserve">Pokud jde o </w:t>
      </w:r>
      <w:proofErr w:type="spellStart"/>
      <w:r>
        <w:rPr>
          <w:color w:val="0D0D0D" w:themeColor="text1" w:themeTint="F2"/>
          <w:szCs w:val="22"/>
        </w:rPr>
        <w:t>předrepublikovou</w:t>
      </w:r>
      <w:proofErr w:type="spellEnd"/>
      <w:r>
        <w:rPr>
          <w:color w:val="0D0D0D" w:themeColor="text1" w:themeTint="F2"/>
          <w:szCs w:val="22"/>
        </w:rPr>
        <w:t xml:space="preserve"> etapu, zatím patrně první zmínka o použití těsnopisu v komorní praxi se týká pořizování zápisu jednání </w:t>
      </w:r>
      <w:hyperlink r:id="rId4" w:tooltip="Ústavodárný říšský sněm (stránka neexistuje)" w:history="1">
        <w:r>
          <w:rPr>
            <w:rStyle w:val="Hypertextovodkaz"/>
            <w:color w:val="0D0D0D" w:themeColor="text1" w:themeTint="F2"/>
            <w:szCs w:val="22"/>
            <w:u w:val="none"/>
            <w:shd w:val="clear" w:color="auto" w:fill="FFFFFF"/>
          </w:rPr>
          <w:t>Ústavodárného říšského sněmu</w:t>
        </w:r>
      </w:hyperlink>
      <w:r>
        <w:rPr>
          <w:color w:val="0D0D0D" w:themeColor="text1" w:themeTint="F2"/>
          <w:szCs w:val="22"/>
          <w:shd w:val="clear" w:color="auto" w:fill="FFFFFF"/>
        </w:rPr>
        <w:t xml:space="preserve"> habsburské monarchie, jehož druhá část se od 22. listopadu 1848 konala v kroměřížském </w:t>
      </w:r>
      <w:hyperlink r:id="rId5" w:tooltip="Arcibiskupský zámek Kroměříž" w:history="1">
        <w:r>
          <w:rPr>
            <w:rStyle w:val="Hypertextovodkaz"/>
            <w:color w:val="0D0D0D" w:themeColor="text1" w:themeTint="F2"/>
            <w:szCs w:val="22"/>
            <w:u w:val="none"/>
            <w:shd w:val="clear" w:color="auto" w:fill="FFFFFF"/>
          </w:rPr>
          <w:t>Arcibiskupském zámku</w:t>
        </w:r>
      </w:hyperlink>
      <w:r>
        <w:rPr>
          <w:color w:val="0D0D0D" w:themeColor="text1" w:themeTint="F2"/>
          <w:szCs w:val="22"/>
        </w:rPr>
        <w:t xml:space="preserve"> (odtud název této části sněmovního jednání Kroměřížský sněm).</w:t>
      </w:r>
    </w:p>
    <w:p w:rsidR="007469D4" w:rsidRDefault="007469D4" w:rsidP="007469D4">
      <w:pPr>
        <w:spacing w:line="276" w:lineRule="auto"/>
        <w:rPr>
          <w:color w:val="0D0D0D" w:themeColor="text1" w:themeTint="F2"/>
          <w:szCs w:val="22"/>
        </w:rPr>
      </w:pPr>
      <w:r>
        <w:rPr>
          <w:color w:val="0D0D0D" w:themeColor="text1" w:themeTint="F2"/>
          <w:szCs w:val="22"/>
        </w:rPr>
        <w:t xml:space="preserve">Pro nás je tato událost zajímavá nejen zmíněným místem konání této části sněmovního jednání, nýbrž i skutečností, že vytvořením stenografické kanceláře, zajišťující těsnopisné zápisy celého jednání rakouského konstitučního parlamentu, byl pověřen </w:t>
      </w:r>
      <w:proofErr w:type="spellStart"/>
      <w:r>
        <w:rPr>
          <w:color w:val="0D0D0D" w:themeColor="text1" w:themeTint="F2"/>
          <w:szCs w:val="22"/>
        </w:rPr>
        <w:t>českorakouský</w:t>
      </w:r>
      <w:proofErr w:type="spellEnd"/>
      <w:r>
        <w:rPr>
          <w:color w:val="0D0D0D" w:themeColor="text1" w:themeTint="F2"/>
          <w:szCs w:val="22"/>
        </w:rPr>
        <w:t xml:space="preserve"> těsnopisec Hynek Jakub Heger; pracoval se 16 svými v těsnopise vyškolenými žáky a s 6 písaři, kteří stenogramy rukopisně přepisovali frakturou (často nazývanou švabachem), jež byla od 16. století do roku 1941 oficiální i běžnou písemnou formou německého jazyka. </w:t>
      </w:r>
    </w:p>
    <w:p w:rsidR="007469D4" w:rsidRDefault="007469D4" w:rsidP="007469D4">
      <w:pPr>
        <w:spacing w:line="276" w:lineRule="auto"/>
        <w:rPr>
          <w:color w:val="0D0D0D" w:themeColor="text1" w:themeTint="F2"/>
          <w:szCs w:val="22"/>
          <w:shd w:val="clear" w:color="auto" w:fill="FFFFFF"/>
        </w:rPr>
      </w:pPr>
      <w:r>
        <w:rPr>
          <w:color w:val="0D0D0D" w:themeColor="text1" w:themeTint="F2"/>
          <w:szCs w:val="22"/>
        </w:rPr>
        <w:t xml:space="preserve">Hegerova osobnost však je zajímavá ještě ze dvou dalších hledisek. Především tím, že těsnopis naučil nejen oněch 16 žáků, tvořících zmíněnou sněmovní stenografickou kancelář, ale i tím, že byl ustanoven </w:t>
      </w:r>
      <w:r>
        <w:rPr>
          <w:color w:val="0D0D0D" w:themeColor="text1" w:themeTint="F2"/>
          <w:szCs w:val="22"/>
          <w:shd w:val="clear" w:color="auto" w:fill="FFFFFF"/>
        </w:rPr>
        <w:t xml:space="preserve">mimořádným profesorem těsnopisu na vídeňské polytechnice; jde tedy o první zmínku institucionální výuky těsnopisu, a to dokonce na učilišti vysokoškolské úrovně. A další zajímavou s Hegerem související skutečností je, že se stal prvním, kdo </w:t>
      </w:r>
      <w:proofErr w:type="spellStart"/>
      <w:r>
        <w:rPr>
          <w:color w:val="0D0D0D" w:themeColor="text1" w:themeTint="F2"/>
          <w:szCs w:val="22"/>
          <w:shd w:val="clear" w:color="auto" w:fill="FFFFFF"/>
        </w:rPr>
        <w:t>Gabelsbergerovu</w:t>
      </w:r>
      <w:proofErr w:type="spellEnd"/>
      <w:r>
        <w:rPr>
          <w:color w:val="0D0D0D" w:themeColor="text1" w:themeTint="F2"/>
          <w:szCs w:val="22"/>
          <w:shd w:val="clear" w:color="auto" w:fill="FFFFFF"/>
        </w:rPr>
        <w:t xml:space="preserve"> soustavu převedl do cizího jazyka, v tomto případě českého; </w:t>
      </w:r>
      <w:proofErr w:type="spellStart"/>
      <w:r>
        <w:rPr>
          <w:color w:val="0D0D0D" w:themeColor="text1" w:themeTint="F2"/>
          <w:szCs w:val="22"/>
          <w:shd w:val="clear" w:color="auto" w:fill="FFFFFF"/>
        </w:rPr>
        <w:t>Gabelsberger</w:t>
      </w:r>
      <w:proofErr w:type="spellEnd"/>
      <w:r>
        <w:rPr>
          <w:color w:val="0D0D0D" w:themeColor="text1" w:themeTint="F2"/>
          <w:szCs w:val="22"/>
          <w:shd w:val="clear" w:color="auto" w:fill="FFFFFF"/>
        </w:rPr>
        <w:t xml:space="preserve"> prý ho označil za svého apoštola v Rakousku. Význam tohoto Hegerova počinu nesnižuje skutečnost, že později následovalo několik převodů dalších, které struktuře naší mateřštiny odpovídaly lépe.  </w:t>
      </w:r>
    </w:p>
    <w:p w:rsidR="007469D4" w:rsidRDefault="007469D4" w:rsidP="007469D4">
      <w:pPr>
        <w:spacing w:line="276" w:lineRule="auto"/>
        <w:rPr>
          <w:color w:val="0D0D0D" w:themeColor="text1" w:themeTint="F2"/>
          <w:szCs w:val="22"/>
          <w:shd w:val="clear" w:color="auto" w:fill="FFFFFF"/>
        </w:rPr>
      </w:pPr>
      <w:r>
        <w:rPr>
          <w:color w:val="0D0D0D" w:themeColor="text1" w:themeTint="F2"/>
          <w:szCs w:val="22"/>
          <w:shd w:val="clear" w:color="auto" w:fill="FFFFFF"/>
        </w:rPr>
        <w:t xml:space="preserve">O zařazení těsnopisu do osnov tehdejších středních škol v Čechách, na Moravě a ve Slezsku nejsou zatím známy podrobnější časové údaje. Ze zachovaných osobních poznámek několika našich významných osobností z konce 19. a počátku 20. století, psaných posledním převodem </w:t>
      </w:r>
      <w:proofErr w:type="spellStart"/>
      <w:r>
        <w:rPr>
          <w:color w:val="0D0D0D" w:themeColor="text1" w:themeTint="F2"/>
          <w:szCs w:val="22"/>
          <w:shd w:val="clear" w:color="auto" w:fill="FFFFFF"/>
        </w:rPr>
        <w:t>Gabelsbergerovy</w:t>
      </w:r>
      <w:proofErr w:type="spellEnd"/>
      <w:r>
        <w:rPr>
          <w:color w:val="0D0D0D" w:themeColor="text1" w:themeTint="F2"/>
          <w:szCs w:val="22"/>
          <w:shd w:val="clear" w:color="auto" w:fill="FFFFFF"/>
        </w:rPr>
        <w:t xml:space="preserve"> soustavy na češtinu, však lze vyvodit, že na obchodních akademiích (v době vzniku republiky jich v Čechách a na Moravě bylo 16) byl těsnopis po vzoru vídeňské Tereziánské akademie, </w:t>
      </w:r>
      <w:r>
        <w:rPr>
          <w:color w:val="0D0D0D" w:themeColor="text1" w:themeTint="F2"/>
          <w:szCs w:val="22"/>
          <w:shd w:val="clear" w:color="auto" w:fill="FFFFFF"/>
        </w:rPr>
        <w:lastRenderedPageBreak/>
        <w:t>založené v polovině 18. století Marií Terezií, předmětem povinným, zatímco na gymnáziích zřejmě předmětem volitelným. Jako konkrétní příklad lze uvést osobnost Dr. Edvarda Beneše, absolventa prvního gymnázia na pražských Vinohradech (1904), který si později za své politické činnosti v průběhu první světové války pořizoval poznámky těsnopisem. (Převod jejich části do latinky byl proveden před několika lety.)</w:t>
      </w:r>
    </w:p>
    <w:p w:rsidR="007469D4" w:rsidRDefault="007469D4" w:rsidP="007469D4">
      <w:pPr>
        <w:spacing w:line="276" w:lineRule="auto"/>
        <w:rPr>
          <w:color w:val="0D0D0D" w:themeColor="text1" w:themeTint="F2"/>
          <w:szCs w:val="22"/>
        </w:rPr>
      </w:pPr>
      <w:r>
        <w:rPr>
          <w:color w:val="0D0D0D" w:themeColor="text1" w:themeTint="F2"/>
          <w:szCs w:val="22"/>
          <w:shd w:val="clear" w:color="auto" w:fill="FFFFFF"/>
        </w:rPr>
        <w:t xml:space="preserve">V období Rakousko-Uherské monarchie mají svůj počátek také snahy o vytvoření nové těsnopisné soustavy, jež by svou grafikou češtině co nejlépe odpovídala. Těchto pokusů zaznamenala historie více. Z nich si zvláštní poznámky i v tomto stručném přehledu zaslouží osobnost Josefa </w:t>
      </w:r>
      <w:proofErr w:type="spellStart"/>
      <w:r>
        <w:rPr>
          <w:color w:val="0D0D0D" w:themeColor="text1" w:themeTint="F2"/>
          <w:szCs w:val="22"/>
          <w:shd w:val="clear" w:color="auto" w:fill="FFFFFF"/>
        </w:rPr>
        <w:t>Düricha</w:t>
      </w:r>
      <w:proofErr w:type="spellEnd"/>
      <w:r>
        <w:rPr>
          <w:color w:val="0D0D0D" w:themeColor="text1" w:themeTint="F2"/>
          <w:szCs w:val="22"/>
          <w:shd w:val="clear" w:color="auto" w:fill="FFFFFF"/>
        </w:rPr>
        <w:t>. Kromě své činnosti spisovatelské a politické se totiž těsnopisem velmi intenzívně zabýval nejen společensky – udržoval bohaté styky s význačnými těsnopisci nejen u nás, nýbrž i v zahraničí –, jako poslanec vídeňské Říšské rady se s ním setkával i v jeho komorní podobě a byl jedním z těch, kdo vypracovali návrh původní t</w:t>
      </w:r>
      <w:r w:rsidR="00B36AAC">
        <w:rPr>
          <w:color w:val="0D0D0D" w:themeColor="text1" w:themeTint="F2"/>
          <w:szCs w:val="22"/>
          <w:shd w:val="clear" w:color="auto" w:fill="FFFFFF"/>
        </w:rPr>
        <w:t>ěsnopisné soustavy, na rozdíl o</w:t>
      </w:r>
      <w:r>
        <w:rPr>
          <w:color w:val="0D0D0D" w:themeColor="text1" w:themeTint="F2"/>
          <w:szCs w:val="22"/>
          <w:shd w:val="clear" w:color="auto" w:fill="FFFFFF"/>
        </w:rPr>
        <w:t xml:space="preserve">d ostatních však nikoli pouze pro češtinu, nýbrž jazykově šíře pojatý, jak o tom svědčí už název díla – Pokus o jednotný </w:t>
      </w:r>
      <w:r>
        <w:rPr>
          <w:color w:val="0D0D0D" w:themeColor="text1" w:themeTint="F2"/>
          <w:szCs w:val="22"/>
        </w:rPr>
        <w:t xml:space="preserve">těsnopis všeslovanský. </w:t>
      </w:r>
    </w:p>
    <w:p w:rsidR="007469D4" w:rsidRDefault="007469D4" w:rsidP="007469D4">
      <w:pPr>
        <w:spacing w:line="276" w:lineRule="auto"/>
        <w:rPr>
          <w:color w:val="0D0D0D" w:themeColor="text1" w:themeTint="F2"/>
          <w:szCs w:val="22"/>
        </w:rPr>
      </w:pPr>
      <w:r>
        <w:rPr>
          <w:color w:val="0D0D0D" w:themeColor="text1" w:themeTint="F2"/>
          <w:szCs w:val="22"/>
        </w:rPr>
        <w:t xml:space="preserve">Zásadní událostí v existenci těsnopisu u nás byl – jak shora uvedeno – vznik Československé republiky, který poskytl snahám o vytvoření původní soustavy nový impulz a konkrétnější obrysy. Výrazem toho bylo vypsání veřejné soutěže o původní soustavu československého těsnopisu, kterou spolu se jmenováním šestičlenné speciální ministerské poroty vyhlásilo tehdejší ministerstvo školství v polovině roku 1920. Za zmínku v této souvislosti snad stojí, že úředním jazykem po vzniku republiky do roku 1948 byl jazyk československý, </w:t>
      </w:r>
      <w:r>
        <w:rPr>
          <w:color w:val="0D0D0D" w:themeColor="text1" w:themeTint="F2"/>
          <w:szCs w:val="22"/>
          <w:shd w:val="clear" w:color="auto" w:fill="FFFFFF"/>
        </w:rPr>
        <w:t>vycházející z koncepce </w:t>
      </w:r>
      <w:hyperlink r:id="rId6" w:tooltip="Čechoslovakismus" w:history="1">
        <w:r>
          <w:rPr>
            <w:rStyle w:val="Hypertextovodkaz"/>
            <w:color w:val="0D0D0D" w:themeColor="text1" w:themeTint="F2"/>
            <w:szCs w:val="22"/>
            <w:u w:val="none"/>
            <w:shd w:val="clear" w:color="auto" w:fill="FFFFFF"/>
          </w:rPr>
          <w:t>čechoslovakismu</w:t>
        </w:r>
      </w:hyperlink>
      <w:r>
        <w:rPr>
          <w:color w:val="0D0D0D" w:themeColor="text1" w:themeTint="F2"/>
          <w:szCs w:val="22"/>
        </w:rPr>
        <w:t>.</w:t>
      </w:r>
    </w:p>
    <w:p w:rsidR="007469D4" w:rsidRDefault="007469D4" w:rsidP="007469D4">
      <w:pPr>
        <w:spacing w:line="276" w:lineRule="auto"/>
        <w:rPr>
          <w:color w:val="0D0D0D" w:themeColor="text1" w:themeTint="F2"/>
          <w:szCs w:val="22"/>
        </w:rPr>
      </w:pPr>
      <w:r>
        <w:rPr>
          <w:color w:val="0D0D0D" w:themeColor="text1" w:themeTint="F2"/>
          <w:szCs w:val="22"/>
        </w:rPr>
        <w:t xml:space="preserve">Půda pro zdar soutěže byla již připravena větším počtem pokusů z doby předválečné – dílo zmíněného Josefa </w:t>
      </w:r>
      <w:proofErr w:type="spellStart"/>
      <w:r>
        <w:rPr>
          <w:color w:val="0D0D0D" w:themeColor="text1" w:themeTint="F2"/>
          <w:szCs w:val="22"/>
        </w:rPr>
        <w:t>Düricha</w:t>
      </w:r>
      <w:proofErr w:type="spellEnd"/>
      <w:r>
        <w:rPr>
          <w:color w:val="0D0D0D" w:themeColor="text1" w:themeTint="F2"/>
          <w:szCs w:val="22"/>
        </w:rPr>
        <w:t xml:space="preserve"> bylo jedním z nich –, takže ke stanovenému termínu 1. prosince 1920 měla porota, ustavená ministerstvem školství, k dispozici 14 prací. V červnu následujícího roku dospěla k jednomyslnému závěru, že nejlepší z předložených prací je soustava Heroutova a Mikulíkova (HM). Ministr školství dne 23. června 1921 usnesení poroty schválil a stanovil, že má v učebních plánech škol nahradit do té doby vyučovaný převod soustavy  </w:t>
      </w:r>
      <w:proofErr w:type="spellStart"/>
      <w:r>
        <w:rPr>
          <w:color w:val="0D0D0D" w:themeColor="text1" w:themeTint="F2"/>
          <w:szCs w:val="22"/>
        </w:rPr>
        <w:t>Gabelsbergerovy</w:t>
      </w:r>
      <w:proofErr w:type="spellEnd"/>
      <w:r>
        <w:rPr>
          <w:color w:val="0D0D0D" w:themeColor="text1" w:themeTint="F2"/>
          <w:szCs w:val="22"/>
        </w:rPr>
        <w:t>. S úkolem „pěstovat těsnopis československý“ (</w:t>
      </w:r>
      <w:r>
        <w:rPr>
          <w:bCs/>
          <w:color w:val="0D0D0D" w:themeColor="text1" w:themeTint="F2"/>
          <w:szCs w:val="22"/>
          <w:shd w:val="clear" w:color="auto" w:fill="FFFFFF"/>
        </w:rPr>
        <w:t xml:space="preserve">jazyk </w:t>
      </w:r>
      <w:proofErr w:type="spellStart"/>
      <w:proofErr w:type="gramStart"/>
      <w:r>
        <w:rPr>
          <w:bCs/>
          <w:color w:val="0D0D0D" w:themeColor="text1" w:themeTint="F2"/>
          <w:szCs w:val="22"/>
          <w:shd w:val="clear" w:color="auto" w:fill="FFFFFF"/>
        </w:rPr>
        <w:t>československý</w:t>
      </w:r>
      <w:r>
        <w:rPr>
          <w:color w:val="0D0D0D" w:themeColor="text1" w:themeTint="F2"/>
          <w:szCs w:val="22"/>
          <w:shd w:val="clear" w:color="auto" w:fill="FFFFFF"/>
        </w:rPr>
        <w:t>,byl</w:t>
      </w:r>
      <w:proofErr w:type="spellEnd"/>
      <w:proofErr w:type="gramEnd"/>
      <w:r>
        <w:rPr>
          <w:color w:val="0D0D0D" w:themeColor="text1" w:themeTint="F2"/>
          <w:szCs w:val="22"/>
          <w:shd w:val="clear" w:color="auto" w:fill="FFFFFF"/>
        </w:rPr>
        <w:t> </w:t>
      </w:r>
      <w:hyperlink r:id="rId7" w:tooltip="Úřední jazyk" w:history="1">
        <w:r>
          <w:rPr>
            <w:rStyle w:val="Hypertextovodkaz"/>
            <w:color w:val="0D0D0D" w:themeColor="text1" w:themeTint="F2"/>
            <w:szCs w:val="22"/>
            <w:u w:val="none"/>
            <w:shd w:val="clear" w:color="auto" w:fill="FFFFFF"/>
          </w:rPr>
          <w:t>úředním jazykem</w:t>
        </w:r>
      </w:hyperlink>
      <w:r>
        <w:rPr>
          <w:color w:val="0D0D0D" w:themeColor="text1" w:themeTint="F2"/>
          <w:szCs w:val="22"/>
          <w:shd w:val="clear" w:color="auto" w:fill="FFFFFF"/>
        </w:rPr>
        <w:t> </w:t>
      </w:r>
      <w:hyperlink r:id="rId8" w:tooltip="Československo" w:history="1">
        <w:r>
          <w:rPr>
            <w:rStyle w:val="Hypertextovodkaz"/>
            <w:color w:val="0D0D0D" w:themeColor="text1" w:themeTint="F2"/>
            <w:szCs w:val="22"/>
            <w:u w:val="none"/>
            <w:shd w:val="clear" w:color="auto" w:fill="FFFFFF"/>
          </w:rPr>
          <w:t>Československa</w:t>
        </w:r>
      </w:hyperlink>
      <w:r>
        <w:rPr>
          <w:color w:val="0D0D0D" w:themeColor="text1" w:themeTint="F2"/>
          <w:szCs w:val="22"/>
          <w:shd w:val="clear" w:color="auto" w:fill="FFFFFF"/>
        </w:rPr>
        <w:t> v letech </w:t>
      </w:r>
      <w:hyperlink r:id="rId9" w:tooltip="1920" w:history="1">
        <w:r>
          <w:rPr>
            <w:rStyle w:val="Hypertextovodkaz"/>
            <w:color w:val="0D0D0D" w:themeColor="text1" w:themeTint="F2"/>
            <w:szCs w:val="22"/>
            <w:u w:val="none"/>
            <w:shd w:val="clear" w:color="auto" w:fill="FFFFFF"/>
          </w:rPr>
          <w:t>1920</w:t>
        </w:r>
      </w:hyperlink>
      <w:r>
        <w:rPr>
          <w:color w:val="0D0D0D" w:themeColor="text1" w:themeTint="F2"/>
          <w:szCs w:val="22"/>
          <w:shd w:val="clear" w:color="auto" w:fill="FFFFFF"/>
        </w:rPr>
        <w:t> až </w:t>
      </w:r>
      <w:hyperlink r:id="rId10" w:tooltip="1948" w:history="1">
        <w:r>
          <w:rPr>
            <w:rStyle w:val="Hypertextovodkaz"/>
            <w:color w:val="0D0D0D" w:themeColor="text1" w:themeTint="F2"/>
            <w:szCs w:val="22"/>
            <w:u w:val="none"/>
            <w:shd w:val="clear" w:color="auto" w:fill="FFFFFF"/>
          </w:rPr>
          <w:t>1948</w:t>
        </w:r>
      </w:hyperlink>
      <w:r>
        <w:t xml:space="preserve">) </w:t>
      </w:r>
      <w:r>
        <w:rPr>
          <w:color w:val="0D0D0D" w:themeColor="text1" w:themeTint="F2"/>
          <w:szCs w:val="22"/>
        </w:rPr>
        <w:t>„po stránce vědecké, didaktické i praktické a šířit všemi vhodnými prostředky znalost těsnopisu československého“ byly k 1. 1. 1922 zřízeny Státní ústav těsnopisný a Škola pro komorní a kancelářské stenografy.</w:t>
      </w:r>
    </w:p>
    <w:p w:rsidR="007469D4" w:rsidRDefault="007469D4" w:rsidP="007469D4">
      <w:pPr>
        <w:spacing w:line="276" w:lineRule="auto"/>
        <w:rPr>
          <w:color w:val="0D0D0D" w:themeColor="text1" w:themeTint="F2"/>
          <w:szCs w:val="22"/>
        </w:rPr>
      </w:pPr>
      <w:r>
        <w:rPr>
          <w:color w:val="0D0D0D" w:themeColor="text1" w:themeTint="F2"/>
          <w:szCs w:val="22"/>
        </w:rPr>
        <w:t xml:space="preserve"> K požadovanému za</w:t>
      </w:r>
      <w:bookmarkStart w:id="0" w:name="_GoBack"/>
      <w:bookmarkEnd w:id="0"/>
      <w:r w:rsidR="00B36AAC">
        <w:rPr>
          <w:color w:val="0D0D0D" w:themeColor="text1" w:themeTint="F2"/>
          <w:szCs w:val="22"/>
        </w:rPr>
        <w:t>v</w:t>
      </w:r>
      <w:r>
        <w:rPr>
          <w:color w:val="0D0D0D" w:themeColor="text1" w:themeTint="F2"/>
          <w:szCs w:val="22"/>
        </w:rPr>
        <w:t>edení soustavy HM nemohlo pochopitelně dojít jednorázově k počátku školního roku 1921/22; bylo třeba vytvořit učebnice, učitelé se s novou soustavou museli seznámit, což vše si vyžádalo určitou dobu a aplikovalo se dle podmínek jednotlivých škol postupně, takže nebyly zřejmě výjimečnými situace, kdy se v jednom místě na školách po určitou dobu vyučovalo oběma soustavám. Ještě delší dobu si pak vyžádal systém státních zkoušek z nové soustavy. Z hlediska zařazení těsnopisu do učebních osnov škol však zůstala praxe stejná jako v etapě předchozí – na obchodním školství byl těsnopis předmětem povinným, na gymnáziích a dalších typech škol předmětem volitelným.</w:t>
      </w:r>
    </w:p>
    <w:p w:rsidR="007469D4" w:rsidRDefault="007469D4" w:rsidP="007469D4">
      <w:pPr>
        <w:spacing w:line="276" w:lineRule="auto"/>
        <w:rPr>
          <w:color w:val="0D0D0D" w:themeColor="text1" w:themeTint="F2"/>
          <w:szCs w:val="22"/>
        </w:rPr>
      </w:pPr>
      <w:r>
        <w:rPr>
          <w:color w:val="0D0D0D" w:themeColor="text1" w:themeTint="F2"/>
          <w:szCs w:val="22"/>
        </w:rPr>
        <w:t xml:space="preserve">Z uvedeného důvodu byl dlouhodobým také proces praktického používání soustavy HM jako písma poznámkového a v praxi komorní, kde uplatňování nové soustavy trvalo nejdéle. Prvním, kdo v této soustavě vykonal komorní zkoušku, byl v roce 1931 Dr. Bedřich Janíček, po němž pak postupně každým rokem přibývali kolegové a kolegyně další. Celkový počet těch, kdo v soustavě HM získali tuto kvalifikaci, je k dnešnímu dni 107. Přitom však kolegové, používající v komorní praxi převod soustavy </w:t>
      </w:r>
      <w:proofErr w:type="spellStart"/>
      <w:r>
        <w:rPr>
          <w:color w:val="0D0D0D" w:themeColor="text1" w:themeTint="F2"/>
          <w:szCs w:val="22"/>
        </w:rPr>
        <w:t>Gabelsbergerovy</w:t>
      </w:r>
      <w:proofErr w:type="spellEnd"/>
      <w:r>
        <w:rPr>
          <w:color w:val="0D0D0D" w:themeColor="text1" w:themeTint="F2"/>
          <w:szCs w:val="22"/>
        </w:rPr>
        <w:t>, působili v této oblasti ještě v padesátých letech.</w:t>
      </w:r>
    </w:p>
    <w:p w:rsidR="007469D4" w:rsidRDefault="007469D4" w:rsidP="007469D4">
      <w:pPr>
        <w:spacing w:line="276" w:lineRule="auto"/>
        <w:rPr>
          <w:iCs/>
          <w:color w:val="000000"/>
          <w:szCs w:val="22"/>
          <w:shd w:val="clear" w:color="auto" w:fill="FFFFFF"/>
        </w:rPr>
      </w:pPr>
      <w:r>
        <w:rPr>
          <w:iCs/>
          <w:color w:val="000000"/>
          <w:szCs w:val="22"/>
          <w:shd w:val="clear" w:color="auto" w:fill="FFFFFF"/>
        </w:rPr>
        <w:t xml:space="preserve">Snaha poskytovat čtenářům a posluchačům informace z co nejširších oblastí vedla  hromadné sdělovací prostředky k navazování kontaktů se zpravodaji nejen vnitrostátními, nýbrž i zahraničními. </w:t>
      </w:r>
      <w:r>
        <w:rPr>
          <w:iCs/>
          <w:color w:val="000000"/>
          <w:szCs w:val="22"/>
          <w:shd w:val="clear" w:color="auto" w:fill="FFFFFF"/>
        </w:rPr>
        <w:lastRenderedPageBreak/>
        <w:t xml:space="preserve">Přebírání jejich zpráv, sdělovaných zprvu většinou telefonicky, vedlo ke vzniku kategorie stenografů redakčních. I v této oblasti se nástrojem doslovných zápisů přijímaných zpráv a textů stala soustava HM. Několik podrobností z této oblasti uvádí následující článek. </w:t>
      </w:r>
    </w:p>
    <w:p w:rsidR="007469D4" w:rsidRDefault="007469D4" w:rsidP="007469D4">
      <w:pPr>
        <w:spacing w:line="276" w:lineRule="auto"/>
        <w:rPr>
          <w:color w:val="0D0D0D" w:themeColor="text1" w:themeTint="F2"/>
          <w:szCs w:val="22"/>
        </w:rPr>
      </w:pPr>
      <w:r>
        <w:rPr>
          <w:color w:val="0D0D0D" w:themeColor="text1" w:themeTint="F2"/>
          <w:szCs w:val="22"/>
        </w:rPr>
        <w:t>Tato praxe trvala v podstatě do přelomu tisíciletí, po němž byl těsnopis z učebních plánů škol postupně vyřazován a Státní ústav těsnopisný jako samostatná instituce v r. 1999 zrušen.</w:t>
      </w:r>
    </w:p>
    <w:p w:rsidR="007469D4" w:rsidRDefault="007469D4" w:rsidP="007469D4">
      <w:pPr>
        <w:spacing w:line="276" w:lineRule="auto"/>
        <w:rPr>
          <w:color w:val="0D0D0D" w:themeColor="text1" w:themeTint="F2"/>
          <w:szCs w:val="22"/>
        </w:rPr>
      </w:pPr>
      <w:r>
        <w:rPr>
          <w:color w:val="0D0D0D" w:themeColor="text1" w:themeTint="F2"/>
          <w:szCs w:val="22"/>
        </w:rPr>
        <w:t xml:space="preserve">Kvůli ubývajícímu počtu komorních stenografů – v současné době jsou interními pracovníky sněmovní </w:t>
      </w:r>
      <w:proofErr w:type="spellStart"/>
      <w:r>
        <w:rPr>
          <w:color w:val="0D0D0D" w:themeColor="text1" w:themeTint="F2"/>
          <w:szCs w:val="22"/>
        </w:rPr>
        <w:t>stenoslužby</w:t>
      </w:r>
      <w:proofErr w:type="spellEnd"/>
      <w:r>
        <w:rPr>
          <w:color w:val="0D0D0D" w:themeColor="text1" w:themeTint="F2"/>
          <w:szCs w:val="22"/>
        </w:rPr>
        <w:t xml:space="preserve"> pouze čtyři – se i v této oblasti přešlo na počítačový přepis audiozáznamů pronesených projevů. (</w:t>
      </w:r>
      <w:proofErr w:type="spellStart"/>
      <w:r>
        <w:rPr>
          <w:color w:val="0D0D0D" w:themeColor="text1" w:themeTint="F2"/>
          <w:szCs w:val="22"/>
        </w:rPr>
        <w:t>nk</w:t>
      </w:r>
      <w:proofErr w:type="spellEnd"/>
      <w:r>
        <w:rPr>
          <w:color w:val="0D0D0D" w:themeColor="text1" w:themeTint="F2"/>
          <w:szCs w:val="22"/>
        </w:rPr>
        <w:t>)</w:t>
      </w:r>
    </w:p>
    <w:p w:rsidR="007469D4" w:rsidRDefault="007469D4" w:rsidP="007469D4">
      <w:pPr>
        <w:spacing w:line="276" w:lineRule="auto"/>
        <w:rPr>
          <w:color w:val="0D0D0D" w:themeColor="text1" w:themeTint="F2"/>
          <w:szCs w:val="22"/>
        </w:rPr>
      </w:pPr>
    </w:p>
    <w:p w:rsidR="007469D4" w:rsidRDefault="007469D4" w:rsidP="007469D4">
      <w:pPr>
        <w:spacing w:line="276" w:lineRule="auto"/>
        <w:rPr>
          <w:color w:val="0D0D0D" w:themeColor="text1" w:themeTint="F2"/>
          <w:szCs w:val="22"/>
        </w:rPr>
      </w:pPr>
    </w:p>
    <w:p w:rsidR="00370374" w:rsidRDefault="00370374"/>
    <w:sectPr w:rsidR="00370374" w:rsidSect="00527AE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D4"/>
    <w:rsid w:val="00370374"/>
    <w:rsid w:val="00527AE5"/>
    <w:rsid w:val="007469D4"/>
    <w:rsid w:val="00B36AAC"/>
    <w:rsid w:val="00CB63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7FEB"/>
  <w15:chartTrackingRefBased/>
  <w15:docId w15:val="{C23AC34B-4A90-4BB3-91A9-B49E4AB8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69D4"/>
    <w:pPr>
      <w:spacing w:after="160" w:line="256" w:lineRule="auto"/>
    </w:pPr>
    <w:rPr>
      <w:rFonts w:cs="Times New Roman"/>
      <w:color w:val="2F2F2F"/>
      <w:kern w:val="36"/>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46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8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C4%8Ceskoslovensko" TargetMode="External"/><Relationship Id="rId3" Type="http://schemas.openxmlformats.org/officeDocument/2006/relationships/webSettings" Target="webSettings.xml"/><Relationship Id="rId7" Type="http://schemas.openxmlformats.org/officeDocument/2006/relationships/hyperlink" Target="https://cs.wikipedia.org/wiki/%C3%9A%C5%99edn%C3%AD_jazy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wikipedia.org/wiki/%C4%8Cechoslovakismus" TargetMode="External"/><Relationship Id="rId11" Type="http://schemas.openxmlformats.org/officeDocument/2006/relationships/fontTable" Target="fontTable.xml"/><Relationship Id="rId5" Type="http://schemas.openxmlformats.org/officeDocument/2006/relationships/hyperlink" Target="https://cs.wikipedia.org/wiki/Arcibiskupsk%C3%BD_z%C3%A1mek_Krom%C4%9B%C5%99%C3%AD%C5%BE" TargetMode="External"/><Relationship Id="rId10" Type="http://schemas.openxmlformats.org/officeDocument/2006/relationships/hyperlink" Target="https://cs.wikipedia.org/wiki/1948" TargetMode="External"/><Relationship Id="rId4" Type="http://schemas.openxmlformats.org/officeDocument/2006/relationships/hyperlink" Target="https://cs.wikipedia.org/w/index.php?title=%C3%9Astavod%C3%A1rn%C3%BD_%C5%99%C3%AD%C5%A1sk%C3%BD_sn%C4%9Bm&amp;action=edit&amp;redlink=1" TargetMode="External"/><Relationship Id="rId9" Type="http://schemas.openxmlformats.org/officeDocument/2006/relationships/hyperlink" Target="https://cs.wikipedia.org/wiki/19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1355</Words>
  <Characters>8000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2020-03-09T08:00:00Z</dcterms:created>
  <dcterms:modified xsi:type="dcterms:W3CDTF">2020-04-10T08:56:00Z</dcterms:modified>
</cp:coreProperties>
</file>